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22A8F">
      <w:pPr>
        <w:spacing w:line="360" w:lineRule="auto"/>
        <w:jc w:val="center"/>
        <w:rPr>
          <w:rFonts w:ascii="黑体" w:hAnsi="黑体" w:eastAsia="黑体" w:cs="黑体"/>
          <w:b/>
          <w:bCs/>
          <w:kern w:val="2"/>
          <w:sz w:val="32"/>
          <w:szCs w:val="32"/>
        </w:rPr>
      </w:pPr>
      <w:r>
        <w:rPr>
          <w:rFonts w:hint="eastAsia" w:ascii="黑体" w:hAnsi="黑体" w:eastAsia="黑体" w:cs="黑体"/>
          <w:b/>
          <w:bCs/>
          <w:kern w:val="2"/>
          <w:sz w:val="32"/>
          <w:szCs w:val="32"/>
        </w:rPr>
        <w:t>接续中华文脉  弘扬中国价值</w:t>
      </w:r>
    </w:p>
    <w:p w14:paraId="0FDE4651">
      <w:pPr>
        <w:spacing w:line="360" w:lineRule="auto"/>
        <w:jc w:val="center"/>
        <w:rPr>
          <w:rFonts w:ascii="黑体" w:hAnsi="黑体" w:eastAsia="黑体" w:cs="黑体"/>
          <w:b/>
          <w:bCs/>
          <w:kern w:val="2"/>
          <w:sz w:val="32"/>
          <w:szCs w:val="32"/>
        </w:rPr>
      </w:pPr>
      <w:r>
        <w:rPr>
          <w:rFonts w:hint="eastAsia" w:ascii="黑体" w:hAnsi="黑体" w:eastAsia="黑体" w:cs="黑体"/>
          <w:b/>
          <w:bCs/>
          <w:kern w:val="2"/>
          <w:sz w:val="32"/>
          <w:szCs w:val="32"/>
        </w:rPr>
        <w:t>——传统文化与德育一体化</w:t>
      </w:r>
    </w:p>
    <w:p w14:paraId="1B37FE1E">
      <w:pPr>
        <w:ind w:firstLine="1920" w:firstLineChars="8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第九届全国中小学传统文化教育论坛预备通知</w:t>
      </w:r>
    </w:p>
    <w:p w14:paraId="39C3504D">
      <w:pPr>
        <w:ind w:firstLine="560" w:firstLineChars="200"/>
        <w:rPr>
          <w:rFonts w:asciiTheme="majorEastAsia" w:hAnsiTheme="majorEastAsia" w:eastAsiaTheme="majorEastAsia" w:cstheme="majorEastAsia"/>
          <w:sz w:val="28"/>
          <w:szCs w:val="28"/>
        </w:rPr>
      </w:pPr>
    </w:p>
    <w:p w14:paraId="7BB10759">
      <w:pPr>
        <w:pStyle w:val="17"/>
        <w:spacing w:line="360" w:lineRule="auto"/>
        <w:ind w:firstLine="44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中华优秀传统文化是中华民族的精神命脉，是社会主义核心价值观的重要源泉。中小学阶段系统开展中华优秀传统文化教育，既是赓续民族根脉、坚守共同理想信念、增强文化自信的关键途径，也是提升国家文化软实力、筑牢文化安全防线的重要举措。党的十八大以来，党中央高度重视中华传统文化与大中小学德育一体化融合，党的二十大报告进一步明确新时代中华优秀传统文化传承和发展的方向，相关政策文件也提出将传统文化全方位融入中小学课程教材体系，强调通过大中小学德育一体化实现系统有效的教育，推动接续中华文脉、弘扬中国价值。</w:t>
      </w:r>
    </w:p>
    <w:p w14:paraId="55C6CA3B">
      <w:pPr>
        <w:pStyle w:val="17"/>
        <w:spacing w:line="360" w:lineRule="auto"/>
        <w:ind w:firstLine="44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当前正处于教育强国建设的关键阶段，北京师范大学价值与文化研究中心、北京师范大学大中小德育一体化国家教材建设重点研究基地 ，积极发挥学术与实践引领作用，推动传统文化与德育一体化的深度融合。于 2025 年 10 月 12-13 日，时值孔子诞辰 2576 周年之际，在陕西西安联合举办第九届全国中小学传统文化教育论坛，汇聚专家学者与一线教师，围绕 “接续中华文脉 弘扬中国价值” 主题，展示优秀课例与教育成果，深化中华优秀传统文化传承路径，推动大中小学思政课一体化改革创新和 “大思政课” 品牌建设，助力培养德智体美劳全面发展的社会主义建设者和接班人。</w:t>
      </w:r>
    </w:p>
    <w:p w14:paraId="2711056B">
      <w:pPr>
        <w:pStyle w:val="17"/>
        <w:spacing w:line="240" w:lineRule="auto"/>
        <w:ind w:firstLine="240" w:firstLineChars="100"/>
        <w:rPr>
          <w:rFonts w:ascii="方正仿宋_GB2312" w:hAnsi="方正仿宋_GB2312" w:eastAsia="方正仿宋_GB2312" w:cs="方正仿宋_GB2312"/>
          <w:sz w:val="21"/>
          <w:szCs w:val="21"/>
        </w:rPr>
      </w:pPr>
      <w:r>
        <w:rPr>
          <w:rFonts w:hint="eastAsia" w:ascii="黑体" w:hAnsi="黑体" w:eastAsia="黑体" w:cs="黑体"/>
          <w:sz w:val="24"/>
          <w:szCs w:val="24"/>
        </w:rPr>
        <w:t>组织机构</w:t>
      </w:r>
    </w:p>
    <w:p w14:paraId="6437BEE6">
      <w:pPr>
        <w:pStyle w:val="17"/>
        <w:spacing w:line="360" w:lineRule="auto"/>
        <w:ind w:firstLine="220"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rPr>
        <w:t>主办单位：北京师范大学价值与文化研究中心、北京师范大学大中小德育一体化国家教材建设重点研究基地</w:t>
      </w:r>
    </w:p>
    <w:p w14:paraId="73172E25">
      <w:pPr>
        <w:pStyle w:val="17"/>
        <w:spacing w:line="360" w:lineRule="auto"/>
        <w:ind w:firstLine="220"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rPr>
        <w:t>承办单位：北京市东城区有学艺术文化交流中心、广东省罗浮山泰学学校</w:t>
      </w:r>
    </w:p>
    <w:p w14:paraId="6EFDF1E3">
      <w:pPr>
        <w:pStyle w:val="17"/>
        <w:spacing w:line="240" w:lineRule="auto"/>
        <w:ind w:firstLine="440" w:firstLineChars="200"/>
        <w:rPr>
          <w:rFonts w:ascii="黑体" w:hAnsi="黑体" w:eastAsia="黑体" w:cs="黑体"/>
        </w:rPr>
      </w:pPr>
      <w:r>
        <w:rPr>
          <w:rFonts w:hint="eastAsia" w:ascii="黑体" w:hAnsi="黑体" w:eastAsia="黑体" w:cs="黑体"/>
        </w:rPr>
        <w:t>一、论坛基本信息</w:t>
      </w:r>
    </w:p>
    <w:p w14:paraId="6EAB6904">
      <w:pPr>
        <w:pStyle w:val="4"/>
        <w:spacing w:line="240" w:lineRule="auto"/>
        <w:rPr>
          <w:rFonts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（一）论坛主题</w:t>
      </w:r>
    </w:p>
    <w:p w14:paraId="3EB81DE1">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接续中华文脉 弘扬中国价值 —— 传统文化与德育一体化</w:t>
      </w:r>
    </w:p>
    <w:p w14:paraId="6C1F53C7">
      <w:pPr>
        <w:pStyle w:val="4"/>
        <w:spacing w:line="240" w:lineRule="auto"/>
        <w:rPr>
          <w:rFonts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（二）论坛时间</w:t>
      </w:r>
    </w:p>
    <w:p w14:paraId="0A5CE0AD">
      <w:pPr>
        <w:pStyle w:val="17"/>
        <w:spacing w:line="24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报到时间：2025年10</w:t>
      </w:r>
      <w:r>
        <w:rPr>
          <w:rFonts w:hint="eastAsia" w:ascii="方正仿宋_GB2312" w:hAnsi="方正仿宋_GB2312" w:eastAsia="方正仿宋_GB2312" w:cs="方正仿宋_GB2312"/>
          <w:lang w:val="en-US" w:eastAsia="zh-CN"/>
        </w:rPr>
        <w:t>月</w:t>
      </w:r>
      <w:bookmarkStart w:id="0" w:name="_GoBack"/>
      <w:bookmarkEnd w:id="0"/>
      <w:r>
        <w:rPr>
          <w:rFonts w:hint="eastAsia" w:ascii="方正仿宋_GB2312" w:hAnsi="方正仿宋_GB2312" w:eastAsia="方正仿宋_GB2312" w:cs="方正仿宋_GB2312"/>
        </w:rPr>
        <w:t>11日</w:t>
      </w:r>
    </w:p>
    <w:p w14:paraId="0AEBA930">
      <w:pPr>
        <w:pStyle w:val="17"/>
        <w:spacing w:line="24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论坛时间：2025 年 10 月 12-13 日</w:t>
      </w:r>
    </w:p>
    <w:p w14:paraId="2328C7E1">
      <w:pPr>
        <w:pStyle w:val="4"/>
        <w:spacing w:line="240" w:lineRule="auto"/>
        <w:rPr>
          <w:rFonts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（三）论坛地点</w:t>
      </w:r>
    </w:p>
    <w:p w14:paraId="286D8548">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陕西西安（具体地址另行通知）</w:t>
      </w:r>
    </w:p>
    <w:p w14:paraId="20ABEE12">
      <w:pPr>
        <w:pStyle w:val="17"/>
        <w:spacing w:line="240" w:lineRule="auto"/>
        <w:ind w:firstLine="440" w:firstLineChars="200"/>
        <w:rPr>
          <w:rFonts w:ascii="黑体" w:hAnsi="黑体" w:eastAsia="黑体" w:cs="黑体"/>
        </w:rPr>
      </w:pPr>
      <w:r>
        <w:rPr>
          <w:rFonts w:hint="eastAsia" w:ascii="黑体" w:hAnsi="黑体" w:eastAsia="黑体" w:cs="黑体"/>
        </w:rPr>
        <w:t>二、论坛议题</w:t>
      </w:r>
    </w:p>
    <w:p w14:paraId="7AE5EAA1">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围绕论坛主题，具体展开如下议题：</w:t>
      </w:r>
    </w:p>
    <w:p w14:paraId="40DDD446">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1.中华优秀传统文化教育在教育强国中的重要作用</w:t>
      </w:r>
    </w:p>
    <w:p w14:paraId="536CC632">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2.中华优秀传统文化教育进中小学课程教材体系探索</w:t>
      </w:r>
    </w:p>
    <w:p w14:paraId="4264607E">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3.中华优秀传统文化在中小学教育教学中的创造性转化</w:t>
      </w:r>
    </w:p>
    <w:p w14:paraId="53DE589C">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4.中华优秀传统文化教育与《道德与法治》教材使用</w:t>
      </w:r>
    </w:p>
    <w:p w14:paraId="13318672">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5.中小学教师传统文化专业素养与教学能力的提升</w:t>
      </w:r>
    </w:p>
    <w:p w14:paraId="2C861B81">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6.数字化赋能中华优秀传统文化教育</w:t>
      </w:r>
    </w:p>
    <w:p w14:paraId="5D97EF54">
      <w:pPr>
        <w:pStyle w:val="17"/>
        <w:spacing w:line="240" w:lineRule="auto"/>
        <w:ind w:firstLine="440" w:firstLineChars="200"/>
        <w:rPr>
          <w:rFonts w:ascii="黑体" w:hAnsi="黑体" w:eastAsia="黑体" w:cs="黑体"/>
        </w:rPr>
      </w:pPr>
      <w:r>
        <w:rPr>
          <w:rFonts w:hint="eastAsia" w:ascii="黑体" w:hAnsi="黑体" w:eastAsia="黑体" w:cs="黑体"/>
        </w:rPr>
        <w:t>三、主论坛活动</w:t>
      </w:r>
    </w:p>
    <w:p w14:paraId="251073A0">
      <w:pPr>
        <w:pStyle w:val="17"/>
        <w:spacing w:line="360" w:lineRule="auto"/>
        <w:ind w:firstLine="221"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b/>
          <w:bCs/>
        </w:rPr>
        <w:t>专家报告</w:t>
      </w:r>
      <w:r>
        <w:rPr>
          <w:rFonts w:hint="eastAsia" w:ascii="方正仿宋_GB2312" w:hAnsi="方正仿宋_GB2312" w:eastAsia="方正仿宋_GB2312" w:cs="方正仿宋_GB2312"/>
        </w:rPr>
        <w:t>：国内知名专家学者围绕传统文化与德育一体化主题作专题报告，阐释前沿理论及实践方向。</w:t>
      </w:r>
    </w:p>
    <w:p w14:paraId="50D34B9C">
      <w:pPr>
        <w:pStyle w:val="17"/>
        <w:spacing w:line="360" w:lineRule="auto"/>
        <w:ind w:firstLine="221"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b/>
          <w:bCs/>
        </w:rPr>
        <w:t>政策解读</w:t>
      </w:r>
      <w:r>
        <w:rPr>
          <w:rFonts w:hint="eastAsia" w:ascii="方正仿宋_GB2312" w:hAnsi="方正仿宋_GB2312" w:eastAsia="方正仿宋_GB2312" w:cs="方正仿宋_GB2312"/>
        </w:rPr>
        <w:t>：邀请教育部领导围绕传统文化与德育一体化主题解读最新相关政策文件。</w:t>
      </w:r>
    </w:p>
    <w:p w14:paraId="5C113DF6">
      <w:pPr>
        <w:pStyle w:val="17"/>
        <w:spacing w:line="360" w:lineRule="auto"/>
        <w:ind w:firstLine="221"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b/>
          <w:bCs/>
        </w:rPr>
        <w:t>经验分享</w:t>
      </w:r>
      <w:r>
        <w:rPr>
          <w:rFonts w:hint="eastAsia" w:ascii="方正仿宋_GB2312" w:hAnsi="方正仿宋_GB2312" w:eastAsia="方正仿宋_GB2312" w:cs="方正仿宋_GB2312"/>
        </w:rPr>
        <w:t>：中华优秀传统文化教育教学案例分享、优秀课例现场展示、教育教学现场展示。</w:t>
      </w:r>
    </w:p>
    <w:p w14:paraId="33519BC5">
      <w:pPr>
        <w:pStyle w:val="17"/>
        <w:spacing w:line="240" w:lineRule="auto"/>
        <w:ind w:firstLine="440" w:firstLineChars="200"/>
        <w:rPr>
          <w:rFonts w:ascii="黑体" w:hAnsi="黑体" w:eastAsia="黑体" w:cs="黑体"/>
        </w:rPr>
      </w:pPr>
      <w:r>
        <w:rPr>
          <w:rFonts w:hint="eastAsia" w:ascii="黑体" w:hAnsi="黑体" w:eastAsia="黑体" w:cs="黑体"/>
        </w:rPr>
        <w:t>四、课例征集</w:t>
      </w:r>
    </w:p>
    <w:p w14:paraId="5BC6007A">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本次论坛专设传统文化课例展示环节，现面向全国中小学教师征集传统文化教育课例。具体要求如下：</w:t>
      </w:r>
    </w:p>
    <w:p w14:paraId="71D8312E">
      <w:pPr>
        <w:pStyle w:val="17"/>
        <w:spacing w:line="360" w:lineRule="auto"/>
        <w:ind w:firstLine="221"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b/>
          <w:bCs/>
        </w:rPr>
        <w:t>1.作品类型</w:t>
      </w:r>
      <w:r>
        <w:rPr>
          <w:rFonts w:hint="eastAsia" w:ascii="方正仿宋_GB2312" w:hAnsi="方正仿宋_GB2312" w:eastAsia="方正仿宋_GB2312" w:cs="方正仿宋_GB2312"/>
        </w:rPr>
        <w:t>：包括但不限于展示课课例、校园特色活动、文化建设、说播课等。</w:t>
      </w:r>
    </w:p>
    <w:p w14:paraId="6988BC82">
      <w:pPr>
        <w:pStyle w:val="17"/>
        <w:spacing w:line="360" w:lineRule="auto"/>
        <w:ind w:firstLine="221"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b/>
          <w:bCs/>
        </w:rPr>
        <w:t>2.内容</w:t>
      </w:r>
      <w:r>
        <w:rPr>
          <w:rFonts w:hint="eastAsia" w:ascii="方正仿宋_GB2312" w:hAnsi="方正仿宋_GB2312" w:eastAsia="方正仿宋_GB2312" w:cs="方正仿宋_GB2312"/>
        </w:rPr>
        <w:t>：聚焦中小学各学段（小学、初中、高中）语文、历史、道德与法治 / 思想政治、艺术（音乐、美术）、综合实践活动等学科中，以中华优秀传统文化为核心教学内容，并有效融入德育目标、体现学段特点与衔接的现场课或录像课。</w:t>
      </w:r>
    </w:p>
    <w:p w14:paraId="67036245">
      <w:pPr>
        <w:pStyle w:val="17"/>
        <w:spacing w:line="360" w:lineRule="auto"/>
        <w:ind w:firstLine="440" w:firstLineChars="200"/>
        <w:rPr>
          <w:rFonts w:ascii="黑体" w:hAnsi="黑体" w:eastAsia="黑体" w:cs="黑体"/>
        </w:rPr>
      </w:pPr>
      <w:r>
        <w:rPr>
          <w:rFonts w:hint="eastAsia" w:ascii="黑体" w:hAnsi="黑体" w:eastAsia="黑体" w:cs="黑体"/>
        </w:rPr>
        <w:t>五、参加人员</w:t>
      </w:r>
    </w:p>
    <w:p w14:paraId="10895B86">
      <w:pPr>
        <w:pStyle w:val="17"/>
        <w:spacing w:line="360" w:lineRule="auto"/>
        <w:rPr>
          <w:rFonts w:ascii="黑体" w:hAnsi="黑体" w:eastAsia="黑体" w:cs="黑体"/>
        </w:rPr>
      </w:pPr>
      <w:r>
        <w:rPr>
          <w:rFonts w:hint="eastAsia" w:ascii="方正仿宋_GB2312" w:hAnsi="方正仿宋_GB2312" w:eastAsia="方正仿宋_GB2312" w:cs="方正仿宋_GB2312"/>
        </w:rPr>
        <w:t>传统文化研究学者、教育专家，教育主管领导、教研员，中小学校长、教师等。</w:t>
      </w:r>
    </w:p>
    <w:p w14:paraId="7933C666">
      <w:pPr>
        <w:pStyle w:val="17"/>
        <w:spacing w:line="360" w:lineRule="auto"/>
        <w:ind w:firstLine="440" w:firstLineChars="200"/>
        <w:rPr>
          <w:rFonts w:ascii="黑体" w:hAnsi="黑体" w:eastAsia="黑体" w:cs="黑体"/>
        </w:rPr>
      </w:pPr>
      <w:r>
        <w:rPr>
          <w:rFonts w:hint="eastAsia" w:ascii="黑体" w:hAnsi="黑体" w:eastAsia="黑体" w:cs="黑体"/>
        </w:rPr>
        <w:t>六、会议费用</w:t>
      </w:r>
    </w:p>
    <w:p w14:paraId="143912F0">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本次论坛不收取任何费用，与会者的交通及食宿费用需自理，回原单位报销。</w:t>
      </w:r>
    </w:p>
    <w:p w14:paraId="68568193">
      <w:pPr>
        <w:pStyle w:val="3"/>
        <w:spacing w:line="360" w:lineRule="auto"/>
        <w:ind w:firstLine="440" w:firstLineChars="200"/>
        <w:rPr>
          <w:rFonts w:ascii="黑体" w:hAnsi="黑体" w:eastAsia="黑体" w:cs="黑体"/>
          <w:b w:val="0"/>
          <w:bCs w:val="0"/>
          <w:sz w:val="22"/>
          <w:szCs w:val="22"/>
        </w:rPr>
      </w:pPr>
      <w:r>
        <w:rPr>
          <w:rFonts w:hint="eastAsia" w:ascii="黑体" w:hAnsi="黑体" w:eastAsia="黑体" w:cs="黑体"/>
          <w:b w:val="0"/>
          <w:bCs w:val="0"/>
          <w:sz w:val="22"/>
          <w:szCs w:val="22"/>
        </w:rPr>
        <w:t>七、联系方式</w:t>
      </w:r>
    </w:p>
    <w:p w14:paraId="172BA54B">
      <w:pPr>
        <w:pStyle w:val="17"/>
        <w:spacing w:line="360" w:lineRule="auto"/>
        <w:ind w:firstLine="220"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rPr>
        <w:t>刘老师：13810629378</w:t>
      </w:r>
    </w:p>
    <w:p w14:paraId="43A865D2">
      <w:pPr>
        <w:pStyle w:val="17"/>
        <w:spacing w:line="360" w:lineRule="auto"/>
        <w:ind w:firstLine="220" w:firstLineChars="100"/>
        <w:rPr>
          <w:rFonts w:ascii="方正仿宋_GB2312" w:hAnsi="方正仿宋_GB2312" w:eastAsia="方正仿宋_GB2312" w:cs="方正仿宋_GB2312"/>
        </w:rPr>
      </w:pPr>
      <w:r>
        <w:rPr>
          <w:rFonts w:hint="eastAsia" w:ascii="方正仿宋_GB2312" w:hAnsi="方正仿宋_GB2312" w:eastAsia="方正仿宋_GB2312" w:cs="方正仿宋_GB2312"/>
        </w:rPr>
        <w:t>熊老师：13910225207</w:t>
      </w:r>
    </w:p>
    <w:p w14:paraId="23073FCB">
      <w:pPr>
        <w:pStyle w:val="17"/>
        <w:spacing w:line="36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请与会者将课例录像材料及参会回执（见附件）发送至邮箱：23466302@qq.com（截止日期 2025 年 9 月 20 日前），并请注明学校、联系人及联系方式。</w:t>
      </w:r>
    </w:p>
    <w:p w14:paraId="7512D755">
      <w:pPr>
        <w:pStyle w:val="17"/>
        <w:spacing w:line="240" w:lineRule="auto"/>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 </w:t>
      </w:r>
    </w:p>
    <w:p w14:paraId="18D1A7B7">
      <w:pPr>
        <w:pStyle w:val="17"/>
        <w:spacing w:line="240" w:lineRule="auto"/>
        <w:rPr>
          <w:rFonts w:ascii="方正仿宋_GB2312" w:hAnsi="方正仿宋_GB2312" w:eastAsia="方正仿宋_GB2312" w:cs="方正仿宋_GB2312"/>
        </w:rPr>
      </w:pPr>
    </w:p>
    <w:p w14:paraId="27A4D6B1">
      <w:pPr>
        <w:jc w:val="right"/>
        <w:rPr>
          <w:rFonts w:ascii="方正仿宋_GB2312" w:hAnsi="方正仿宋_GB2312" w:eastAsia="方正仿宋_GB2312" w:cs="方正仿宋_GB2312"/>
          <w:sz w:val="22"/>
        </w:rPr>
      </w:pPr>
      <w:r>
        <w:rPr>
          <w:rFonts w:hint="eastAsia" w:ascii="方正仿宋_GB2312" w:hAnsi="方正仿宋_GB2312" w:eastAsia="方正仿宋_GB2312" w:cs="方正仿宋_GB2312"/>
          <w:sz w:val="22"/>
        </w:rPr>
        <w:t xml:space="preserve">主办单位：北京师范大学价值与文化研究中心                           </w:t>
      </w:r>
    </w:p>
    <w:p w14:paraId="039139CD">
      <w:pPr>
        <w:jc w:val="right"/>
        <w:rPr>
          <w:rFonts w:ascii="方正仿宋_GB2312" w:hAnsi="方正仿宋_GB2312" w:eastAsia="方正仿宋_GB2312" w:cs="方正仿宋_GB2312"/>
          <w:sz w:val="22"/>
        </w:rPr>
      </w:pPr>
    </w:p>
    <w:p w14:paraId="4E735ADF">
      <w:pPr>
        <w:jc w:val="right"/>
        <w:rPr>
          <w:rFonts w:ascii="方正仿宋_GB2312" w:hAnsi="方正仿宋_GB2312" w:eastAsia="方正仿宋_GB2312" w:cs="方正仿宋_GB2312"/>
          <w:sz w:val="22"/>
        </w:rPr>
      </w:pPr>
      <w:r>
        <w:rPr>
          <w:rFonts w:hint="eastAsia" w:ascii="方正仿宋_GB2312" w:hAnsi="方正仿宋_GB2312" w:eastAsia="方正仿宋_GB2312" w:cs="方正仿宋_GB2312"/>
          <w:sz w:val="22"/>
        </w:rPr>
        <w:t xml:space="preserve">                                2025年7月 </w:t>
      </w:r>
    </w:p>
    <w:p w14:paraId="5FD23243">
      <w:pPr>
        <w:pStyle w:val="8"/>
        <w:spacing w:before="95" w:line="184" w:lineRule="auto"/>
        <w:ind w:left="69"/>
        <w:rPr>
          <w:spacing w:val="-1"/>
          <w:lang w:eastAsia="zh-CN"/>
        </w:rPr>
      </w:pPr>
    </w:p>
    <w:p w14:paraId="4C808B36">
      <w:pPr>
        <w:pStyle w:val="8"/>
        <w:spacing w:before="95" w:line="184" w:lineRule="auto"/>
        <w:ind w:left="69"/>
        <w:rPr>
          <w:spacing w:val="-1"/>
          <w:lang w:eastAsia="zh-CN"/>
        </w:rPr>
      </w:pPr>
    </w:p>
    <w:p w14:paraId="067FD50D">
      <w:pPr>
        <w:pStyle w:val="8"/>
        <w:spacing w:before="95" w:line="184" w:lineRule="auto"/>
        <w:rPr>
          <w:spacing w:val="-1"/>
          <w:lang w:eastAsia="zh-CN"/>
        </w:rPr>
      </w:pPr>
    </w:p>
    <w:p w14:paraId="36AAEBAC">
      <w:pPr>
        <w:pStyle w:val="8"/>
        <w:spacing w:before="95" w:line="184" w:lineRule="auto"/>
        <w:rPr>
          <w:spacing w:val="-1"/>
          <w:lang w:eastAsia="zh-CN"/>
        </w:rPr>
      </w:pPr>
    </w:p>
    <w:p w14:paraId="63798793">
      <w:pPr>
        <w:pStyle w:val="8"/>
        <w:spacing w:before="95" w:line="184" w:lineRule="auto"/>
        <w:rPr>
          <w:spacing w:val="-1"/>
          <w:lang w:eastAsia="zh-CN"/>
        </w:rPr>
      </w:pPr>
    </w:p>
    <w:p w14:paraId="4444866B">
      <w:pPr>
        <w:pStyle w:val="8"/>
        <w:spacing w:before="95" w:line="184" w:lineRule="auto"/>
        <w:rPr>
          <w:spacing w:val="-1"/>
          <w:lang w:eastAsia="zh-CN"/>
        </w:rPr>
      </w:pPr>
    </w:p>
    <w:p w14:paraId="7F08201C">
      <w:pPr>
        <w:pStyle w:val="8"/>
        <w:spacing w:before="95" w:line="184" w:lineRule="auto"/>
        <w:rPr>
          <w:spacing w:val="-1"/>
          <w:lang w:eastAsia="zh-CN"/>
        </w:rPr>
      </w:pPr>
      <w:r>
        <w:rPr>
          <w:spacing w:val="-1"/>
          <w:lang w:eastAsia="zh-CN"/>
        </w:rPr>
        <w:t>附件</w:t>
      </w:r>
      <w:r>
        <w:rPr>
          <w:rFonts w:hint="eastAsia"/>
          <w:spacing w:val="-1"/>
          <w:lang w:eastAsia="zh-CN"/>
        </w:rPr>
        <w:t>：</w:t>
      </w:r>
      <w:r>
        <w:rPr>
          <w:spacing w:val="-1"/>
          <w:lang w:eastAsia="zh-CN"/>
        </w:rPr>
        <w:t xml:space="preserve">         </w:t>
      </w:r>
    </w:p>
    <w:p w14:paraId="4CD3B06E">
      <w:pPr>
        <w:pStyle w:val="8"/>
        <w:spacing w:before="95" w:line="184" w:lineRule="auto"/>
        <w:rPr>
          <w:spacing w:val="-1"/>
          <w:lang w:eastAsia="zh-CN"/>
        </w:rPr>
      </w:pPr>
    </w:p>
    <w:p w14:paraId="72D63602">
      <w:pPr>
        <w:pStyle w:val="8"/>
        <w:spacing w:before="95" w:line="184" w:lineRule="auto"/>
        <w:rPr>
          <w:spacing w:val="-1"/>
          <w:lang w:eastAsia="zh-CN"/>
        </w:rPr>
      </w:pPr>
      <w:r>
        <w:rPr>
          <w:spacing w:val="-1"/>
          <w:lang w:eastAsia="zh-CN"/>
        </w:rPr>
        <w:t xml:space="preserve">                  </w:t>
      </w:r>
    </w:p>
    <w:p w14:paraId="36939D75">
      <w:pPr>
        <w:pStyle w:val="8"/>
        <w:spacing w:before="95" w:line="184" w:lineRule="auto"/>
        <w:ind w:left="69"/>
        <w:jc w:val="center"/>
        <w:rPr>
          <w:spacing w:val="-1"/>
          <w:sz w:val="28"/>
          <w:szCs w:val="28"/>
          <w:lang w:eastAsia="zh-CN"/>
        </w:rPr>
      </w:pPr>
    </w:p>
    <w:p w14:paraId="64D8FFC9">
      <w:pPr>
        <w:pStyle w:val="8"/>
        <w:spacing w:before="95" w:line="184" w:lineRule="auto"/>
        <w:ind w:left="69"/>
        <w:jc w:val="center"/>
        <w:rPr>
          <w:spacing w:val="-1"/>
          <w:sz w:val="28"/>
          <w:szCs w:val="28"/>
          <w:lang w:eastAsia="zh-CN"/>
        </w:rPr>
      </w:pPr>
      <w:r>
        <w:rPr>
          <w:rFonts w:hint="eastAsia"/>
          <w:spacing w:val="-1"/>
          <w:sz w:val="28"/>
          <w:szCs w:val="28"/>
          <w:lang w:eastAsia="zh-CN"/>
        </w:rPr>
        <w:t>第九届全国中小学传统文化教育论坛参会</w:t>
      </w:r>
      <w:r>
        <w:rPr>
          <w:spacing w:val="-1"/>
          <w:sz w:val="28"/>
          <w:szCs w:val="28"/>
          <w:lang w:eastAsia="zh-CN"/>
        </w:rPr>
        <w:t>回执单</w:t>
      </w:r>
    </w:p>
    <w:p w14:paraId="6430DCCD">
      <w:pPr>
        <w:pStyle w:val="8"/>
        <w:spacing w:before="95" w:line="184" w:lineRule="auto"/>
        <w:ind w:left="69"/>
        <w:jc w:val="center"/>
        <w:rPr>
          <w:b/>
          <w:bCs/>
          <w:spacing w:val="-1"/>
          <w:sz w:val="28"/>
          <w:szCs w:val="28"/>
          <w:lang w:eastAsia="zh-CN"/>
        </w:rPr>
      </w:pPr>
    </w:p>
    <w:p w14:paraId="11697607">
      <w:pPr>
        <w:spacing w:line="123" w:lineRule="exact"/>
      </w:pPr>
    </w:p>
    <w:tbl>
      <w:tblPr>
        <w:tblStyle w:val="11"/>
        <w:tblW w:w="8859" w:type="dxa"/>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4"/>
        <w:gridCol w:w="632"/>
        <w:gridCol w:w="753"/>
        <w:gridCol w:w="832"/>
        <w:gridCol w:w="2948"/>
        <w:gridCol w:w="1511"/>
        <w:gridCol w:w="1119"/>
      </w:tblGrid>
      <w:tr w14:paraId="20C8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96" w:type="dxa"/>
            <w:gridSpan w:val="2"/>
          </w:tcPr>
          <w:p w14:paraId="54D68B9B">
            <w:pPr>
              <w:spacing w:before="243" w:line="184" w:lineRule="auto"/>
              <w:ind w:left="268"/>
              <w:rPr>
                <w:rFonts w:ascii="微软雅黑" w:hAnsi="微软雅黑" w:eastAsia="微软雅黑" w:cs="微软雅黑"/>
                <w:sz w:val="20"/>
                <w:szCs w:val="20"/>
              </w:rPr>
            </w:pPr>
            <w:r>
              <w:rPr>
                <w:rFonts w:ascii="微软雅黑" w:hAnsi="微软雅黑" w:eastAsia="微软雅黑" w:cs="微软雅黑"/>
                <w:sz w:val="20"/>
                <w:szCs w:val="20"/>
              </w:rPr>
              <w:t>参会单位名称</w:t>
            </w:r>
          </w:p>
        </w:tc>
        <w:tc>
          <w:tcPr>
            <w:tcW w:w="7163" w:type="dxa"/>
            <w:gridSpan w:val="5"/>
          </w:tcPr>
          <w:p w14:paraId="68C23B6E">
            <w:pPr>
              <w:pStyle w:val="19"/>
              <w:rPr>
                <w:sz w:val="20"/>
                <w:szCs w:val="20"/>
              </w:rPr>
            </w:pPr>
          </w:p>
        </w:tc>
      </w:tr>
      <w:tr w14:paraId="11E4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064" w:type="dxa"/>
          </w:tcPr>
          <w:p w14:paraId="4C480E0A">
            <w:pPr>
              <w:pStyle w:val="19"/>
              <w:spacing w:line="254" w:lineRule="auto"/>
              <w:rPr>
                <w:sz w:val="20"/>
                <w:szCs w:val="20"/>
              </w:rPr>
            </w:pPr>
          </w:p>
          <w:p w14:paraId="6276D1E6">
            <w:pPr>
              <w:spacing w:before="68" w:line="183" w:lineRule="auto"/>
              <w:ind w:left="411"/>
              <w:rPr>
                <w:rFonts w:ascii="微软雅黑" w:hAnsi="微软雅黑" w:eastAsia="微软雅黑" w:cs="微软雅黑"/>
                <w:sz w:val="20"/>
                <w:szCs w:val="20"/>
              </w:rPr>
            </w:pPr>
            <w:r>
              <w:rPr>
                <w:rFonts w:ascii="微软雅黑" w:hAnsi="微软雅黑" w:eastAsia="微软雅黑" w:cs="微软雅黑"/>
                <w:spacing w:val="-1"/>
                <w:sz w:val="20"/>
                <w:szCs w:val="20"/>
              </w:rPr>
              <w:t>姓名</w:t>
            </w:r>
          </w:p>
        </w:tc>
        <w:tc>
          <w:tcPr>
            <w:tcW w:w="632" w:type="dxa"/>
          </w:tcPr>
          <w:p w14:paraId="5746FC50">
            <w:pPr>
              <w:pStyle w:val="19"/>
              <w:spacing w:line="255" w:lineRule="auto"/>
              <w:rPr>
                <w:sz w:val="20"/>
                <w:szCs w:val="20"/>
              </w:rPr>
            </w:pPr>
          </w:p>
          <w:p w14:paraId="523F9C58">
            <w:pPr>
              <w:spacing w:before="69" w:line="182" w:lineRule="auto"/>
              <w:ind w:left="114"/>
              <w:rPr>
                <w:rFonts w:ascii="微软雅黑" w:hAnsi="微软雅黑" w:eastAsia="微软雅黑" w:cs="微软雅黑"/>
                <w:sz w:val="20"/>
                <w:szCs w:val="20"/>
              </w:rPr>
            </w:pPr>
            <w:r>
              <w:rPr>
                <w:rFonts w:ascii="微软雅黑" w:hAnsi="微软雅黑" w:eastAsia="微软雅黑" w:cs="微软雅黑"/>
                <w:spacing w:val="-1"/>
                <w:sz w:val="20"/>
                <w:szCs w:val="20"/>
              </w:rPr>
              <w:t>性别</w:t>
            </w:r>
          </w:p>
        </w:tc>
        <w:tc>
          <w:tcPr>
            <w:tcW w:w="753" w:type="dxa"/>
          </w:tcPr>
          <w:p w14:paraId="52F2BCEA">
            <w:pPr>
              <w:pStyle w:val="19"/>
              <w:spacing w:line="253" w:lineRule="auto"/>
              <w:rPr>
                <w:sz w:val="20"/>
                <w:szCs w:val="20"/>
              </w:rPr>
            </w:pPr>
          </w:p>
          <w:p w14:paraId="4809319C">
            <w:pPr>
              <w:spacing w:before="68" w:line="184" w:lineRule="auto"/>
              <w:ind w:left="224"/>
              <w:rPr>
                <w:rFonts w:ascii="微软雅黑" w:hAnsi="微软雅黑" w:eastAsia="微软雅黑" w:cs="微软雅黑"/>
                <w:sz w:val="20"/>
                <w:szCs w:val="20"/>
              </w:rPr>
            </w:pPr>
            <w:r>
              <w:rPr>
                <w:rFonts w:ascii="微软雅黑" w:hAnsi="微软雅黑" w:eastAsia="微软雅黑" w:cs="微软雅黑"/>
                <w:spacing w:val="-4"/>
                <w:w w:val="98"/>
                <w:sz w:val="20"/>
                <w:szCs w:val="20"/>
              </w:rPr>
              <w:t>民族</w:t>
            </w:r>
          </w:p>
        </w:tc>
        <w:tc>
          <w:tcPr>
            <w:tcW w:w="832" w:type="dxa"/>
          </w:tcPr>
          <w:p w14:paraId="15B97B48">
            <w:pPr>
              <w:pStyle w:val="19"/>
              <w:spacing w:line="252" w:lineRule="auto"/>
              <w:rPr>
                <w:sz w:val="20"/>
                <w:szCs w:val="20"/>
              </w:rPr>
            </w:pPr>
          </w:p>
          <w:p w14:paraId="641C3A62">
            <w:pPr>
              <w:spacing w:before="68" w:line="185" w:lineRule="auto"/>
              <w:ind w:left="255"/>
              <w:rPr>
                <w:rFonts w:ascii="微软雅黑" w:hAnsi="微软雅黑" w:eastAsia="微软雅黑" w:cs="微软雅黑"/>
                <w:sz w:val="20"/>
                <w:szCs w:val="20"/>
              </w:rPr>
            </w:pPr>
            <w:r>
              <w:rPr>
                <w:rFonts w:ascii="微软雅黑" w:hAnsi="微软雅黑" w:eastAsia="微软雅黑" w:cs="微软雅黑"/>
                <w:spacing w:val="-1"/>
                <w:sz w:val="20"/>
                <w:szCs w:val="20"/>
              </w:rPr>
              <w:t>职务</w:t>
            </w:r>
          </w:p>
        </w:tc>
        <w:tc>
          <w:tcPr>
            <w:tcW w:w="2948" w:type="dxa"/>
          </w:tcPr>
          <w:p w14:paraId="5D73A5FA">
            <w:pPr>
              <w:pStyle w:val="19"/>
              <w:spacing w:line="254" w:lineRule="auto"/>
              <w:rPr>
                <w:sz w:val="20"/>
                <w:szCs w:val="20"/>
              </w:rPr>
            </w:pPr>
          </w:p>
          <w:p w14:paraId="55EFFB73">
            <w:pPr>
              <w:spacing w:before="68" w:line="183" w:lineRule="auto"/>
              <w:ind w:left="1156"/>
              <w:rPr>
                <w:rFonts w:ascii="微软雅黑" w:hAnsi="微软雅黑" w:eastAsia="微软雅黑" w:cs="微软雅黑"/>
                <w:sz w:val="20"/>
                <w:szCs w:val="20"/>
              </w:rPr>
            </w:pPr>
            <w:r>
              <w:rPr>
                <w:rFonts w:ascii="微软雅黑" w:hAnsi="微软雅黑" w:eastAsia="微软雅黑" w:cs="微软雅黑"/>
                <w:spacing w:val="-1"/>
                <w:sz w:val="20"/>
                <w:szCs w:val="20"/>
              </w:rPr>
              <w:t>身份证号</w:t>
            </w:r>
          </w:p>
        </w:tc>
        <w:tc>
          <w:tcPr>
            <w:tcW w:w="1511" w:type="dxa"/>
          </w:tcPr>
          <w:p w14:paraId="2A47B03D">
            <w:pPr>
              <w:spacing w:before="293" w:line="227" w:lineRule="auto"/>
              <w:ind w:left="324"/>
              <w:rPr>
                <w:rFonts w:ascii="微软雅黑" w:hAnsi="微软雅黑" w:eastAsia="微软雅黑" w:cs="微软雅黑"/>
                <w:sz w:val="20"/>
                <w:szCs w:val="20"/>
              </w:rPr>
            </w:pPr>
            <w:r>
              <w:rPr>
                <w:rFonts w:ascii="微软雅黑" w:hAnsi="微软雅黑" w:eastAsia="微软雅黑" w:cs="微软雅黑"/>
                <w:spacing w:val="-1"/>
                <w:sz w:val="20"/>
                <w:szCs w:val="20"/>
              </w:rPr>
              <w:t>手机号/微信</w:t>
            </w:r>
          </w:p>
        </w:tc>
        <w:tc>
          <w:tcPr>
            <w:tcW w:w="1119" w:type="dxa"/>
          </w:tcPr>
          <w:p w14:paraId="59747012">
            <w:pPr>
              <w:pStyle w:val="19"/>
              <w:spacing w:line="253" w:lineRule="auto"/>
              <w:rPr>
                <w:sz w:val="20"/>
                <w:szCs w:val="20"/>
              </w:rPr>
            </w:pPr>
          </w:p>
          <w:p w14:paraId="4BF2AFE7">
            <w:pPr>
              <w:spacing w:before="68" w:line="184" w:lineRule="auto"/>
              <w:ind w:left="158"/>
              <w:rPr>
                <w:rFonts w:ascii="微软雅黑" w:hAnsi="微软雅黑" w:eastAsia="微软雅黑" w:cs="微软雅黑"/>
                <w:sz w:val="20"/>
                <w:szCs w:val="20"/>
              </w:rPr>
            </w:pPr>
            <w:r>
              <w:rPr>
                <w:rFonts w:ascii="微软雅黑" w:hAnsi="微软雅黑" w:eastAsia="微软雅黑" w:cs="微软雅黑"/>
                <w:spacing w:val="-1"/>
                <w:sz w:val="20"/>
                <w:szCs w:val="20"/>
              </w:rPr>
              <w:t>是否住宿</w:t>
            </w:r>
          </w:p>
        </w:tc>
      </w:tr>
      <w:tr w14:paraId="7399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64" w:type="dxa"/>
          </w:tcPr>
          <w:p w14:paraId="72EDDB11">
            <w:pPr>
              <w:pStyle w:val="19"/>
              <w:rPr>
                <w:sz w:val="20"/>
                <w:szCs w:val="20"/>
              </w:rPr>
            </w:pPr>
          </w:p>
        </w:tc>
        <w:tc>
          <w:tcPr>
            <w:tcW w:w="632" w:type="dxa"/>
          </w:tcPr>
          <w:p w14:paraId="5730D896">
            <w:pPr>
              <w:pStyle w:val="19"/>
              <w:rPr>
                <w:sz w:val="20"/>
                <w:szCs w:val="20"/>
              </w:rPr>
            </w:pPr>
          </w:p>
        </w:tc>
        <w:tc>
          <w:tcPr>
            <w:tcW w:w="753" w:type="dxa"/>
          </w:tcPr>
          <w:p w14:paraId="0D6DCFD4">
            <w:pPr>
              <w:pStyle w:val="19"/>
              <w:rPr>
                <w:sz w:val="20"/>
                <w:szCs w:val="20"/>
              </w:rPr>
            </w:pPr>
          </w:p>
        </w:tc>
        <w:tc>
          <w:tcPr>
            <w:tcW w:w="832" w:type="dxa"/>
          </w:tcPr>
          <w:p w14:paraId="260A5C20">
            <w:pPr>
              <w:pStyle w:val="19"/>
              <w:rPr>
                <w:sz w:val="20"/>
                <w:szCs w:val="20"/>
              </w:rPr>
            </w:pPr>
          </w:p>
        </w:tc>
        <w:tc>
          <w:tcPr>
            <w:tcW w:w="2948" w:type="dxa"/>
          </w:tcPr>
          <w:p w14:paraId="2B4844C4">
            <w:pPr>
              <w:pStyle w:val="19"/>
              <w:rPr>
                <w:rFonts w:eastAsia="宋体"/>
                <w:sz w:val="20"/>
                <w:szCs w:val="20"/>
                <w:lang w:eastAsia="zh-CN"/>
              </w:rPr>
            </w:pPr>
          </w:p>
        </w:tc>
        <w:tc>
          <w:tcPr>
            <w:tcW w:w="1511" w:type="dxa"/>
          </w:tcPr>
          <w:p w14:paraId="5ADFD211">
            <w:pPr>
              <w:pStyle w:val="19"/>
              <w:rPr>
                <w:sz w:val="20"/>
                <w:szCs w:val="20"/>
              </w:rPr>
            </w:pPr>
          </w:p>
        </w:tc>
        <w:tc>
          <w:tcPr>
            <w:tcW w:w="1119" w:type="dxa"/>
          </w:tcPr>
          <w:p w14:paraId="5006E7E9">
            <w:pPr>
              <w:pStyle w:val="19"/>
              <w:rPr>
                <w:sz w:val="20"/>
                <w:szCs w:val="20"/>
              </w:rPr>
            </w:pPr>
          </w:p>
        </w:tc>
      </w:tr>
      <w:tr w14:paraId="5D6E2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64" w:type="dxa"/>
          </w:tcPr>
          <w:p w14:paraId="15DBDE72">
            <w:pPr>
              <w:pStyle w:val="19"/>
              <w:rPr>
                <w:sz w:val="20"/>
                <w:szCs w:val="20"/>
              </w:rPr>
            </w:pPr>
          </w:p>
        </w:tc>
        <w:tc>
          <w:tcPr>
            <w:tcW w:w="632" w:type="dxa"/>
          </w:tcPr>
          <w:p w14:paraId="0F78CC92">
            <w:pPr>
              <w:pStyle w:val="19"/>
              <w:rPr>
                <w:sz w:val="20"/>
                <w:szCs w:val="20"/>
              </w:rPr>
            </w:pPr>
          </w:p>
        </w:tc>
        <w:tc>
          <w:tcPr>
            <w:tcW w:w="753" w:type="dxa"/>
          </w:tcPr>
          <w:p w14:paraId="64FFB6F7">
            <w:pPr>
              <w:pStyle w:val="19"/>
              <w:rPr>
                <w:sz w:val="20"/>
                <w:szCs w:val="20"/>
              </w:rPr>
            </w:pPr>
          </w:p>
        </w:tc>
        <w:tc>
          <w:tcPr>
            <w:tcW w:w="832" w:type="dxa"/>
          </w:tcPr>
          <w:p w14:paraId="0DD7C0D9">
            <w:pPr>
              <w:pStyle w:val="19"/>
              <w:rPr>
                <w:sz w:val="20"/>
                <w:szCs w:val="20"/>
              </w:rPr>
            </w:pPr>
          </w:p>
        </w:tc>
        <w:tc>
          <w:tcPr>
            <w:tcW w:w="2948" w:type="dxa"/>
          </w:tcPr>
          <w:p w14:paraId="1B7639FD">
            <w:pPr>
              <w:pStyle w:val="19"/>
              <w:rPr>
                <w:sz w:val="20"/>
                <w:szCs w:val="20"/>
              </w:rPr>
            </w:pPr>
          </w:p>
        </w:tc>
        <w:tc>
          <w:tcPr>
            <w:tcW w:w="1511" w:type="dxa"/>
          </w:tcPr>
          <w:p w14:paraId="416270E5">
            <w:pPr>
              <w:pStyle w:val="19"/>
              <w:rPr>
                <w:sz w:val="20"/>
                <w:szCs w:val="20"/>
              </w:rPr>
            </w:pPr>
          </w:p>
        </w:tc>
        <w:tc>
          <w:tcPr>
            <w:tcW w:w="1119" w:type="dxa"/>
          </w:tcPr>
          <w:p w14:paraId="6F58502C">
            <w:pPr>
              <w:pStyle w:val="19"/>
              <w:rPr>
                <w:sz w:val="20"/>
                <w:szCs w:val="20"/>
              </w:rPr>
            </w:pPr>
          </w:p>
        </w:tc>
      </w:tr>
      <w:tr w14:paraId="69CA9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64" w:type="dxa"/>
          </w:tcPr>
          <w:p w14:paraId="5FD6EDAC">
            <w:pPr>
              <w:pStyle w:val="19"/>
              <w:rPr>
                <w:sz w:val="20"/>
                <w:szCs w:val="20"/>
              </w:rPr>
            </w:pPr>
          </w:p>
        </w:tc>
        <w:tc>
          <w:tcPr>
            <w:tcW w:w="632" w:type="dxa"/>
          </w:tcPr>
          <w:p w14:paraId="04E89D2C">
            <w:pPr>
              <w:pStyle w:val="19"/>
              <w:rPr>
                <w:sz w:val="20"/>
                <w:szCs w:val="20"/>
              </w:rPr>
            </w:pPr>
          </w:p>
        </w:tc>
        <w:tc>
          <w:tcPr>
            <w:tcW w:w="753" w:type="dxa"/>
          </w:tcPr>
          <w:p w14:paraId="4808FBB1">
            <w:pPr>
              <w:pStyle w:val="19"/>
              <w:rPr>
                <w:sz w:val="20"/>
                <w:szCs w:val="20"/>
              </w:rPr>
            </w:pPr>
          </w:p>
        </w:tc>
        <w:tc>
          <w:tcPr>
            <w:tcW w:w="832" w:type="dxa"/>
          </w:tcPr>
          <w:p w14:paraId="16A388F0">
            <w:pPr>
              <w:pStyle w:val="19"/>
              <w:rPr>
                <w:sz w:val="20"/>
                <w:szCs w:val="20"/>
              </w:rPr>
            </w:pPr>
          </w:p>
        </w:tc>
        <w:tc>
          <w:tcPr>
            <w:tcW w:w="2948" w:type="dxa"/>
          </w:tcPr>
          <w:p w14:paraId="1297949C">
            <w:pPr>
              <w:pStyle w:val="19"/>
              <w:rPr>
                <w:sz w:val="20"/>
                <w:szCs w:val="20"/>
              </w:rPr>
            </w:pPr>
          </w:p>
        </w:tc>
        <w:tc>
          <w:tcPr>
            <w:tcW w:w="1511" w:type="dxa"/>
          </w:tcPr>
          <w:p w14:paraId="73FC4CC5">
            <w:pPr>
              <w:pStyle w:val="19"/>
              <w:rPr>
                <w:sz w:val="20"/>
                <w:szCs w:val="20"/>
              </w:rPr>
            </w:pPr>
          </w:p>
        </w:tc>
        <w:tc>
          <w:tcPr>
            <w:tcW w:w="1119" w:type="dxa"/>
          </w:tcPr>
          <w:p w14:paraId="7BE340C7">
            <w:pPr>
              <w:pStyle w:val="19"/>
              <w:rPr>
                <w:sz w:val="20"/>
                <w:szCs w:val="20"/>
              </w:rPr>
            </w:pPr>
          </w:p>
        </w:tc>
      </w:tr>
    </w:tbl>
    <w:p w14:paraId="5DA5CBAD"/>
    <w:p w14:paraId="40305373">
      <w:pPr>
        <w:jc w:val="right"/>
        <w:rPr>
          <w:rFonts w:ascii="方正仿宋_GB2312" w:hAnsi="方正仿宋_GB2312" w:eastAsia="方正仿宋_GB2312" w:cs="方正仿宋_GB2312"/>
          <w:sz w:val="22"/>
        </w:rPr>
      </w:pPr>
    </w:p>
    <w:p w14:paraId="132FF6C7">
      <w:pPr>
        <w:jc w:val="right"/>
        <w:rPr>
          <w:rFonts w:ascii="方正仿宋_GB2312" w:hAnsi="方正仿宋_GB2312" w:eastAsia="方正仿宋_GB2312" w:cs="方正仿宋_GB2312"/>
          <w:sz w:val="22"/>
        </w:rPr>
      </w:pPr>
    </w:p>
    <w:sectPr>
      <w:pgSz w:w="11906" w:h="16838"/>
      <w:pgMar w:top="1894" w:right="1497" w:bottom="1894" w:left="161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E8E16F-A79D-430E-8C66-CAA4849895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BC7C6C-BB3B-492F-B1B6-9FE15621AD75}"/>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4311DCBC-15C8-4517-ADB1-E317D566C6F2}"/>
  </w:font>
  <w:font w:name="方正仿宋_GB2312">
    <w:panose1 w:val="02000000000000000000"/>
    <w:charset w:val="86"/>
    <w:family w:val="auto"/>
    <w:pitch w:val="default"/>
    <w:sig w:usb0="A00002BF" w:usb1="184F6CFA" w:usb2="00000012" w:usb3="00000000" w:csb0="00040001" w:csb1="00000000"/>
    <w:embedRegular r:id="rId4" w:fontKey="{1BC1A61B-B28C-4F77-A3F4-E54FC696C8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97"/>
    <w:rsid w:val="00054FE5"/>
    <w:rsid w:val="0018274C"/>
    <w:rsid w:val="00571497"/>
    <w:rsid w:val="00A513DB"/>
    <w:rsid w:val="00C14954"/>
    <w:rsid w:val="00E7640F"/>
    <w:rsid w:val="011A24F4"/>
    <w:rsid w:val="01BD35AB"/>
    <w:rsid w:val="04057215"/>
    <w:rsid w:val="05ED01D7"/>
    <w:rsid w:val="071A4FFB"/>
    <w:rsid w:val="07AB20F7"/>
    <w:rsid w:val="08652FFB"/>
    <w:rsid w:val="0ADF27E4"/>
    <w:rsid w:val="0AEB73DB"/>
    <w:rsid w:val="0DA815B3"/>
    <w:rsid w:val="0DC91529"/>
    <w:rsid w:val="0E146C48"/>
    <w:rsid w:val="0E4D3F08"/>
    <w:rsid w:val="11A976A8"/>
    <w:rsid w:val="11FD5C45"/>
    <w:rsid w:val="122D2087"/>
    <w:rsid w:val="160C6457"/>
    <w:rsid w:val="16FA2753"/>
    <w:rsid w:val="20090A67"/>
    <w:rsid w:val="20743577"/>
    <w:rsid w:val="217F0425"/>
    <w:rsid w:val="271B299E"/>
    <w:rsid w:val="277F117F"/>
    <w:rsid w:val="2AEC129D"/>
    <w:rsid w:val="310A186E"/>
    <w:rsid w:val="326A6587"/>
    <w:rsid w:val="34F1707E"/>
    <w:rsid w:val="371371EE"/>
    <w:rsid w:val="37490E61"/>
    <w:rsid w:val="3AC01FE9"/>
    <w:rsid w:val="3D891FB8"/>
    <w:rsid w:val="3E0E070F"/>
    <w:rsid w:val="3EC84D62"/>
    <w:rsid w:val="3F397CC7"/>
    <w:rsid w:val="42FC147E"/>
    <w:rsid w:val="49227764"/>
    <w:rsid w:val="4C305CCC"/>
    <w:rsid w:val="4D9A3D6D"/>
    <w:rsid w:val="5845031C"/>
    <w:rsid w:val="59126EAD"/>
    <w:rsid w:val="5E23390B"/>
    <w:rsid w:val="5EA93E10"/>
    <w:rsid w:val="60680ADB"/>
    <w:rsid w:val="613E277E"/>
    <w:rsid w:val="642108EC"/>
    <w:rsid w:val="64287EE0"/>
    <w:rsid w:val="66754F1F"/>
    <w:rsid w:val="668A09CB"/>
    <w:rsid w:val="67544B35"/>
    <w:rsid w:val="68561393"/>
    <w:rsid w:val="69831701"/>
    <w:rsid w:val="6A8B6AC0"/>
    <w:rsid w:val="6BA047ED"/>
    <w:rsid w:val="6C3A254B"/>
    <w:rsid w:val="6E7941E6"/>
    <w:rsid w:val="71285068"/>
    <w:rsid w:val="72D336FA"/>
    <w:rsid w:val="72F86CBC"/>
    <w:rsid w:val="732B7092"/>
    <w:rsid w:val="747D56CB"/>
    <w:rsid w:val="75430B1F"/>
    <w:rsid w:val="76185CFD"/>
    <w:rsid w:val="7A61783D"/>
    <w:rsid w:val="7E266DD3"/>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Body Text"/>
    <w:basedOn w:val="1"/>
    <w:semiHidden/>
    <w:qFormat/>
    <w:uiPriority w:val="0"/>
    <w:rPr>
      <w:rFonts w:ascii="微软雅黑" w:hAnsi="微软雅黑" w:eastAsia="微软雅黑" w:cs="微软雅黑"/>
      <w:sz w:val="22"/>
      <w:lang w:eastAsia="en-US"/>
    </w:rPr>
  </w:style>
  <w:style w:type="paragraph" w:styleId="9">
    <w:name w:val="footnote text"/>
    <w:link w:val="16"/>
    <w:semiHidden/>
    <w:unhideWhenUsed/>
    <w:qFormat/>
    <w:uiPriority w:val="99"/>
    <w:rPr>
      <w:rFonts w:asciiTheme="minorHAnsi" w:hAnsiTheme="minorHAnsi" w:eastAsiaTheme="minorEastAsia" w:cstheme="minorBidi"/>
      <w:lang w:val="en-US" w:eastAsia="zh-CN" w:bidi="ar-SA"/>
    </w:rPr>
  </w:style>
  <w:style w:type="paragraph" w:styleId="10">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heme="minorHAnsi" w:hAnsiTheme="minorHAnsi" w:eastAsiaTheme="minorEastAsia" w:cstheme="minorBidi"/>
      <w:sz w:val="21"/>
      <w:szCs w:val="22"/>
      <w:lang w:val="en-US" w:eastAsia="zh-CN" w:bidi="ar-SA"/>
    </w:rPr>
  </w:style>
  <w:style w:type="character" w:customStyle="1" w:styleId="16">
    <w:name w:val="脚注文本 字符"/>
    <w:link w:val="9"/>
    <w:semiHidden/>
    <w:unhideWhenUsed/>
    <w:qFormat/>
    <w:uiPriority w:val="99"/>
    <w:rPr>
      <w:sz w:val="20"/>
      <w:szCs w:val="20"/>
    </w:rPr>
  </w:style>
  <w:style w:type="paragraph" w:customStyle="1" w:styleId="1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8">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1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1414</Words>
  <Characters>1487</Characters>
  <Lines>12</Lines>
  <Paragraphs>3</Paragraphs>
  <TotalTime>3</TotalTime>
  <ScaleCrop>false</ScaleCrop>
  <LinksUpToDate>false</LinksUpToDate>
  <CharactersWithSpaces>1607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2025-07-23T06:35:00Z</dcterms:created>
  <dc:creator>Un-named</dc:creator>
  <cp:lastModifiedBy>李佳伦</cp:lastModifiedBy>
  <dcterms:modified xsi:type="dcterms:W3CDTF">2025-09-23T02:08:08Z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eyJoZGlkIjoiYjkyZmNhZmMwYTRkMzdjNDc0ZDBiODA4ZTNmNjg2YzYiLCJ1c2VySWQiOiIxNjA0Mzc2Mjc1In0=</vt:lpwstr>
  </property>
  <property fmtid="{D5CDD505-2E9C-101B-9397-08002B2CF9AE}" pid="3" name="KSOProductBuildVer">
    <vt:lpwstr>2052-12.1.0.21541</vt:lpwstr>
  </property>
  <property fmtid="{D5CDD505-2E9C-101B-9397-08002B2CF9AE}" pid="4" name="ICV">
    <vt:lpwstr>0A20782C40D14234BD1725D41DEDE58C_13</vt:lpwstr>
  </property>
</Properties>
</file>